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BF" w:rsidRPr="000B795F" w:rsidRDefault="00D05CBF" w:rsidP="00D05C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ЛЕКЦИЯ </w:t>
      </w:r>
      <w:r>
        <w:rPr>
          <w:b/>
          <w:sz w:val="22"/>
          <w:szCs w:val="22"/>
          <w:lang w:val="en-US"/>
        </w:rPr>
        <w:t xml:space="preserve">10. 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Pr="000B795F">
        <w:rPr>
          <w:b/>
          <w:sz w:val="22"/>
          <w:szCs w:val="22"/>
        </w:rPr>
        <w:t>ТЕМА 7: НАЛОГОВЫЕ СХЕМЫ МИНИМИЗАЦИИ НАЛОГОВ</w:t>
      </w:r>
    </w:p>
    <w:p w:rsidR="00D05CBF" w:rsidRPr="000B795F" w:rsidRDefault="00D05CBF" w:rsidP="00D05CBF">
      <w:pPr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1 вопрос. Классификация налоговых схем</w:t>
      </w:r>
    </w:p>
    <w:p w:rsidR="00D05CBF" w:rsidRPr="000B795F" w:rsidRDefault="00D05CBF" w:rsidP="00D05CBF">
      <w:pPr>
        <w:jc w:val="both"/>
        <w:rPr>
          <w:b/>
          <w:sz w:val="22"/>
          <w:szCs w:val="22"/>
        </w:rPr>
      </w:pP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795F">
        <w:rPr>
          <w:rFonts w:ascii="Times New Roman" w:hAnsi="Times New Roman" w:cs="Times New Roman"/>
          <w:b/>
          <w:sz w:val="22"/>
          <w:szCs w:val="22"/>
        </w:rPr>
        <w:t>2 вопрос. Виды налоговых схем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795F">
        <w:rPr>
          <w:rFonts w:ascii="Times New Roman" w:hAnsi="Times New Roman" w:cs="Times New Roman"/>
          <w:b/>
          <w:sz w:val="22"/>
          <w:szCs w:val="22"/>
        </w:rPr>
        <w:t>3 вопрос.</w:t>
      </w:r>
      <w:r w:rsidRPr="000B795F">
        <w:rPr>
          <w:rFonts w:ascii="Times New Roman" w:hAnsi="Times New Roman" w:cs="Times New Roman"/>
          <w:sz w:val="22"/>
          <w:szCs w:val="22"/>
        </w:rPr>
        <w:t xml:space="preserve"> </w:t>
      </w:r>
      <w:r w:rsidRPr="000B795F">
        <w:rPr>
          <w:rFonts w:ascii="Times New Roman" w:hAnsi="Times New Roman" w:cs="Times New Roman"/>
          <w:b/>
          <w:sz w:val="22"/>
          <w:szCs w:val="22"/>
        </w:rPr>
        <w:t>Какие причины останавливают компании от использования той или иной схемы</w:t>
      </w:r>
    </w:p>
    <w:p w:rsidR="00D05CBF" w:rsidRPr="000B795F" w:rsidRDefault="00D05CBF" w:rsidP="00D05CBF">
      <w:pPr>
        <w:jc w:val="both"/>
        <w:rPr>
          <w:b/>
          <w:sz w:val="22"/>
          <w:szCs w:val="22"/>
        </w:rPr>
      </w:pPr>
    </w:p>
    <w:p w:rsidR="00D05CBF" w:rsidRPr="000B795F" w:rsidRDefault="00D05CBF" w:rsidP="00D05CBF">
      <w:pPr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1 вопрос. Классификация налоговых схем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b/>
          <w:bCs/>
          <w:sz w:val="22"/>
          <w:szCs w:val="22"/>
        </w:rPr>
        <w:t xml:space="preserve">.Налоговая схема </w:t>
      </w:r>
      <w:r w:rsidRPr="000B795F">
        <w:rPr>
          <w:rFonts w:ascii="Times New Roman" w:hAnsi="Times New Roman" w:cs="Times New Roman"/>
          <w:sz w:val="22"/>
          <w:szCs w:val="22"/>
        </w:rPr>
        <w:t xml:space="preserve">представляет собой конкретный метод оптимизации налогов; описание взаимодействия элементов налоговой системы; наглядное графическое представление выбранного метода оптимизации налогов. 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Налоговая схема содержит набор коммерческих структур (юридические лица из различных юрисдикций, товарищества и т. п.) и отношений между ними, включая отношения владения и договорные отношения, позволяющий уменьшить суммарный объем налоговых выплат для данного вида (видов) предпринимательской деятельности.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98A58" wp14:editId="62CD0F8F">
                <wp:simplePos x="0" y="0"/>
                <wp:positionH relativeFrom="column">
                  <wp:posOffset>2815590</wp:posOffset>
                </wp:positionH>
                <wp:positionV relativeFrom="paragraph">
                  <wp:posOffset>423545</wp:posOffset>
                </wp:positionV>
                <wp:extent cx="1104900" cy="247650"/>
                <wp:effectExtent l="0" t="0" r="88900" b="825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pt;margin-top:33.35pt;width:8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AC6A0" wp14:editId="3702D49F">
                <wp:simplePos x="0" y="0"/>
                <wp:positionH relativeFrom="column">
                  <wp:posOffset>996315</wp:posOffset>
                </wp:positionH>
                <wp:positionV relativeFrom="paragraph">
                  <wp:posOffset>423545</wp:posOffset>
                </wp:positionV>
                <wp:extent cx="857250" cy="247650"/>
                <wp:effectExtent l="50800" t="0" r="31750" b="825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78.45pt;margin-top:33.35pt;width:67.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">
                <v:stroke endarrow="block"/>
              </v:shape>
            </w:pict>
          </mc:Fallback>
        </mc:AlternateContent>
      </w:r>
      <w:r w:rsidRPr="000B795F">
        <w:rPr>
          <w:sz w:val="22"/>
          <w:szCs w:val="22"/>
        </w:rPr>
        <w:t>По масштабу налоговые схемы можно разделить на две группы: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ab/>
      </w:r>
    </w:p>
    <w:p w:rsidR="00D05CBF" w:rsidRPr="000B795F" w:rsidRDefault="00D05CBF" w:rsidP="00D05CBF">
      <w:pPr>
        <w:tabs>
          <w:tab w:val="left" w:pos="7365"/>
        </w:tabs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</w:t>
      </w:r>
      <w:r w:rsidRPr="000B795F">
        <w:rPr>
          <w:b/>
          <w:bCs/>
          <w:sz w:val="22"/>
          <w:szCs w:val="22"/>
        </w:rPr>
        <w:t>Стратегические налоговые схемы                                 Оперативные схемы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 </w:t>
      </w:r>
      <w:r w:rsidRPr="000B795F">
        <w:rPr>
          <w:rFonts w:ascii="Times New Roman" w:hAnsi="Times New Roman" w:cs="Times New Roman"/>
          <w:b/>
          <w:bCs/>
          <w:sz w:val="22"/>
          <w:szCs w:val="22"/>
        </w:rPr>
        <w:t xml:space="preserve">Стратегические налоговые схемы </w:t>
      </w:r>
      <w:r w:rsidRPr="000B795F">
        <w:rPr>
          <w:rFonts w:ascii="Times New Roman" w:hAnsi="Times New Roman" w:cs="Times New Roman"/>
          <w:sz w:val="22"/>
          <w:szCs w:val="22"/>
        </w:rPr>
        <w:t xml:space="preserve">используются в стратегическом налоговом планировании, существенно меняют структуру бизнеса, воздействуют на основные экономические действия, рассчитаны на продолжительный период, приводят к многократному сокращению налогового бремени.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b/>
          <w:bCs/>
          <w:sz w:val="22"/>
          <w:szCs w:val="22"/>
        </w:rPr>
        <w:t>Слайд 4-5.</w:t>
      </w:r>
      <w:r w:rsidRPr="000B795F">
        <w:rPr>
          <w:rFonts w:ascii="Times New Roman" w:hAnsi="Times New Roman" w:cs="Times New Roman"/>
          <w:sz w:val="22"/>
          <w:szCs w:val="22"/>
        </w:rPr>
        <w:t xml:space="preserve">Это могут быть все формы реорганизации с целью минимизации налогов: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- слияние, т.е. прекращение деятельности сливающихся организаций и образование на их базе нового лица.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-присоединение - включение одного юридического лица в состав другого с последующим прекращением существованием первого. Например, присоединение убыточной компании. </w:t>
      </w:r>
    </w:p>
    <w:p w:rsidR="00D05CBF" w:rsidRPr="000B795F" w:rsidRDefault="00D05CBF" w:rsidP="00D05CBF">
      <w:pPr>
        <w:tabs>
          <w:tab w:val="left" w:pos="7365"/>
        </w:tabs>
        <w:jc w:val="both"/>
        <w:rPr>
          <w:sz w:val="22"/>
          <w:szCs w:val="22"/>
        </w:rPr>
      </w:pPr>
      <w:r w:rsidRPr="000B795F">
        <w:rPr>
          <w:sz w:val="22"/>
          <w:szCs w:val="22"/>
        </w:rPr>
        <w:t>-разделение – возникновение на базе прекратившего существование юридического лица новых юридических лиц. то есть «дробление» компании с переводом обособленных подразделений на «</w:t>
      </w:r>
      <w:proofErr w:type="spellStart"/>
      <w:r w:rsidRPr="000B795F">
        <w:rPr>
          <w:sz w:val="22"/>
          <w:szCs w:val="22"/>
        </w:rPr>
        <w:t>спецрежимы</w:t>
      </w:r>
      <w:proofErr w:type="spellEnd"/>
      <w:r w:rsidRPr="000B795F">
        <w:rPr>
          <w:sz w:val="22"/>
          <w:szCs w:val="22"/>
        </w:rPr>
        <w:t>».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-преобразование – изменение организационно-правовой формы юридического лица. </w:t>
      </w:r>
    </w:p>
    <w:p w:rsidR="00D05CBF" w:rsidRPr="000B795F" w:rsidRDefault="00D05CBF" w:rsidP="00D05CBF">
      <w:pPr>
        <w:tabs>
          <w:tab w:val="left" w:pos="7365"/>
        </w:tabs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 стратегическим схемам минимизации налогов относятся оффшорные схемы. Существует много способов позволяющих уменьшить количество уплачиваемых налогов с применением </w:t>
      </w:r>
      <w:proofErr w:type="spellStart"/>
      <w:r w:rsidRPr="000B795F">
        <w:rPr>
          <w:sz w:val="22"/>
          <w:szCs w:val="22"/>
        </w:rPr>
        <w:t>оффшоров</w:t>
      </w:r>
      <w:proofErr w:type="spellEnd"/>
      <w:r w:rsidRPr="000B795F">
        <w:rPr>
          <w:sz w:val="22"/>
          <w:szCs w:val="22"/>
        </w:rPr>
        <w:t>. Эти схемы уже давно стали классическими: трансфертное ценообразование, агентская схема, строительная схема, производственная схема, транспортная схема, выплата роялти, схема регистрации новых предприятий, давальческая схема поставки сырья. Эти же схемы применяются и в отношении компаний с льготной системой налогообложения.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b/>
          <w:bCs/>
          <w:sz w:val="22"/>
          <w:szCs w:val="22"/>
        </w:rPr>
        <w:t>Оперативные схемы</w:t>
      </w:r>
      <w:r w:rsidRPr="000B795F">
        <w:rPr>
          <w:rFonts w:ascii="Times New Roman" w:hAnsi="Times New Roman" w:cs="Times New Roman"/>
          <w:sz w:val="22"/>
          <w:szCs w:val="22"/>
        </w:rPr>
        <w:t xml:space="preserve"> используемые в текущем налоговом планировании не требуют приспосабливать бизнес и не несут больших организационных затрат, затрагивают одну либо несколько хозяйственных операций.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К таким схемам относятся так называемые «зарплатные схемы»: лизинг персонала, перевод сотрудников в компании с льготным режимом налогообложения, замена трудового договора на гражданско-правовой.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Так же схемы, в которых в качестве инструмента применяется учетная политика. Они не требуют больших затрат но существенно могут уменьшить налоговую нагрузку за счет регулярной уценки имущества использования резервов, прямых и косвенных затрат.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Для реализации налоговых схем и налогового планирования требуется комплексный подход, так как необходимо учитывать взаимосвязи нескольких предприятий-налогоплательщиков с различными налоговыми режимами с учетом имеющихся внутренних и внешних ограничений подконтрольности предприятий (доверия к определенным лицам, наличие посредников и т.д.). Реальные налоговые схемы могут быть достаточно масштабными и сложными. Для их разработки необходимы навыки, понимание специфики, оценка, анализ отдельных деталей и совокупности элементов налоговой схемы, связей между ними. </w:t>
      </w:r>
    </w:p>
    <w:p w:rsidR="00D05CBF" w:rsidRPr="000B795F" w:rsidRDefault="00D05CBF" w:rsidP="00D05CBF">
      <w:pPr>
        <w:tabs>
          <w:tab w:val="left" w:pos="7365"/>
        </w:tabs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Схемы с количеством взаимодействующих лиц от двух до четырех могут считаться </w:t>
      </w:r>
      <w:r w:rsidRPr="000B795F">
        <w:rPr>
          <w:b/>
          <w:bCs/>
          <w:sz w:val="22"/>
          <w:szCs w:val="22"/>
        </w:rPr>
        <w:t>простыми</w:t>
      </w:r>
      <w:r w:rsidRPr="000B795F">
        <w:rPr>
          <w:sz w:val="22"/>
          <w:szCs w:val="22"/>
        </w:rPr>
        <w:t xml:space="preserve">. Схемы с количеством участников более четырех считаются </w:t>
      </w:r>
      <w:r w:rsidRPr="000B795F">
        <w:rPr>
          <w:b/>
          <w:bCs/>
          <w:sz w:val="22"/>
          <w:szCs w:val="22"/>
        </w:rPr>
        <w:t>сложными</w:t>
      </w:r>
      <w:r w:rsidRPr="000B795F">
        <w:rPr>
          <w:sz w:val="22"/>
          <w:szCs w:val="22"/>
        </w:rPr>
        <w:t>.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b/>
          <w:sz w:val="22"/>
          <w:szCs w:val="22"/>
        </w:rPr>
        <w:lastRenderedPageBreak/>
        <w:t>Качественная схема</w:t>
      </w:r>
      <w:r w:rsidRPr="000B795F">
        <w:rPr>
          <w:rFonts w:ascii="Times New Roman" w:hAnsi="Times New Roman" w:cs="Times New Roman"/>
          <w:sz w:val="22"/>
          <w:szCs w:val="22"/>
        </w:rPr>
        <w:t xml:space="preserve"> – это целая система последовательных действий, основанная на использовании различных инструментов, сочетающая в себе не только оптимизацию отдельных участков налогового бремени, но и формирование обновленной модели и трансформации всего бизнеса. </w:t>
      </w:r>
    </w:p>
    <w:p w:rsidR="00D05CBF" w:rsidRPr="000B795F" w:rsidRDefault="00D05CBF" w:rsidP="00D05CBF">
      <w:pPr>
        <w:tabs>
          <w:tab w:val="left" w:pos="7365"/>
        </w:tabs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Самым сложным этапом оптимизационного налогового планирования является разработка конкретных налоговых схем.</w:t>
      </w:r>
    </w:p>
    <w:p w:rsidR="00D05CBF" w:rsidRPr="000B795F" w:rsidRDefault="00D05CBF" w:rsidP="00D05CBF">
      <w:pPr>
        <w:tabs>
          <w:tab w:val="left" w:pos="7365"/>
        </w:tabs>
        <w:jc w:val="both"/>
        <w:rPr>
          <w:b/>
          <w:sz w:val="22"/>
          <w:szCs w:val="22"/>
        </w:rPr>
      </w:pPr>
      <w:r w:rsidRPr="000B795F">
        <w:rPr>
          <w:sz w:val="22"/>
          <w:szCs w:val="22"/>
        </w:rPr>
        <w:t xml:space="preserve"> </w:t>
      </w:r>
      <w:r w:rsidRPr="000B795F">
        <w:rPr>
          <w:b/>
          <w:sz w:val="22"/>
          <w:szCs w:val="22"/>
        </w:rPr>
        <w:t>Последовательность их построения следующая: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2A3B234" wp14:editId="5CF83195">
                <wp:simplePos x="0" y="0"/>
                <wp:positionH relativeFrom="column">
                  <wp:posOffset>2691764</wp:posOffset>
                </wp:positionH>
                <wp:positionV relativeFrom="paragraph">
                  <wp:posOffset>556260</wp:posOffset>
                </wp:positionV>
                <wp:extent cx="0" cy="314325"/>
                <wp:effectExtent l="50800" t="0" r="76200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11.95pt;margin-top:43.8pt;width:0;height:24.75pt;z-index:25166131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">
                <v:stroke endarrow="block"/>
              </v:shape>
            </w:pict>
          </mc:Fallback>
        </mc:AlternateContent>
      </w:r>
      <w:r w:rsidRPr="000B795F">
        <w:rPr>
          <w:rFonts w:ascii="Times New Roman" w:hAnsi="Times New Roman" w:cs="Times New Roman"/>
          <w:sz w:val="22"/>
          <w:szCs w:val="22"/>
        </w:rPr>
        <w:t>1) Поиск идеи. На данном этапе наиболее эффективными являются различные эвристические и творческие подходы. Ближе всего эта деятельность с учетом необходимости минимизировать размеры по конкретным налогам;</w:t>
      </w: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892FFEB" wp14:editId="7A709C3B">
                <wp:simplePos x="0" y="0"/>
                <wp:positionH relativeFrom="column">
                  <wp:posOffset>2691764</wp:posOffset>
                </wp:positionH>
                <wp:positionV relativeFrom="paragraph">
                  <wp:posOffset>577215</wp:posOffset>
                </wp:positionV>
                <wp:extent cx="0" cy="314325"/>
                <wp:effectExtent l="50800" t="0" r="7620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1.95pt;margin-top:45.45pt;width:0;height:24.75pt;z-index:25166233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">
                <v:stroke endarrow="block"/>
              </v:shape>
            </w:pict>
          </mc:Fallback>
        </mc:AlternateContent>
      </w:r>
      <w:r w:rsidRPr="000B795F">
        <w:rPr>
          <w:rFonts w:ascii="Times New Roman" w:hAnsi="Times New Roman" w:cs="Times New Roman"/>
          <w:sz w:val="22"/>
          <w:szCs w:val="22"/>
        </w:rPr>
        <w:t xml:space="preserve">2) Разработка экономической модели. На данном этапе решается вопрос, имеет ли найденная идея практический интерес и экономическое содержание, определяется. Какой экономический эффект она может принести; </w:t>
      </w: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D2676AC" wp14:editId="57A38C69">
                <wp:simplePos x="0" y="0"/>
                <wp:positionH relativeFrom="column">
                  <wp:posOffset>2691764</wp:posOffset>
                </wp:positionH>
                <wp:positionV relativeFrom="paragraph">
                  <wp:posOffset>426085</wp:posOffset>
                </wp:positionV>
                <wp:extent cx="0" cy="314325"/>
                <wp:effectExtent l="50800" t="0" r="76200" b="666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1.95pt;margin-top:33.55pt;width:0;height:24.75pt;z-index:25166336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">
                <v:stroke endarrow="block"/>
              </v:shape>
            </w:pict>
          </mc:Fallback>
        </mc:AlternateContent>
      </w:r>
      <w:r w:rsidRPr="000B795F">
        <w:rPr>
          <w:rFonts w:ascii="Times New Roman" w:hAnsi="Times New Roman" w:cs="Times New Roman"/>
          <w:sz w:val="22"/>
          <w:szCs w:val="22"/>
        </w:rPr>
        <w:t xml:space="preserve">3) Юридическая модель. Рассматривается юридическая возможность реализации идеи, юридическое оформление и обоснование значимых деталей. Заканчивается проектами документов; </w:t>
      </w: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84E6F83" wp14:editId="3418C67D">
                <wp:simplePos x="0" y="0"/>
                <wp:positionH relativeFrom="column">
                  <wp:posOffset>2691764</wp:posOffset>
                </wp:positionH>
                <wp:positionV relativeFrom="paragraph">
                  <wp:posOffset>522605</wp:posOffset>
                </wp:positionV>
                <wp:extent cx="0" cy="314325"/>
                <wp:effectExtent l="50800" t="0" r="76200" b="666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1.95pt;margin-top:41.15pt;width:0;height:24.75pt;z-index:2516643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">
                <v:stroke endarrow="block"/>
              </v:shape>
            </w:pict>
          </mc:Fallback>
        </mc:AlternateContent>
      </w:r>
      <w:r w:rsidRPr="000B795F">
        <w:rPr>
          <w:rFonts w:ascii="Times New Roman" w:hAnsi="Times New Roman" w:cs="Times New Roman"/>
          <w:sz w:val="22"/>
          <w:szCs w:val="22"/>
        </w:rPr>
        <w:t xml:space="preserve">4) Организационная модель. Любая схема должна быть детально лакирована и правильно организована. На этом этапе выделяют возможные организационные сложности, пути их преодоления, ответственные лица, этапы и отчетность; </w:t>
      </w: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:rsidR="00D05CBF" w:rsidRPr="000B795F" w:rsidRDefault="00D05CBF" w:rsidP="00D05CBF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5) Учетная модель. Вполне законченной схемой для предприятий можно считать только такую налоговую схему, в которой точно определены бухгалтерские проводки. Различные варианты бухгалтерских проводок могут повлиять на конечный результат и, соответственно, на эффективность налоговой схемы;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5837158" wp14:editId="0E9FFED6">
                <wp:simplePos x="0" y="0"/>
                <wp:positionH relativeFrom="column">
                  <wp:posOffset>2758439</wp:posOffset>
                </wp:positionH>
                <wp:positionV relativeFrom="paragraph">
                  <wp:posOffset>-90805</wp:posOffset>
                </wp:positionV>
                <wp:extent cx="0" cy="314325"/>
                <wp:effectExtent l="50800" t="0" r="76200" b="666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17.2pt;margin-top:-7.1pt;width:0;height:24.75pt;z-index:25166540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">
                <v:stroke endarrow="block"/>
              </v:shape>
            </w:pict>
          </mc:Fallback>
        </mc:AlternateConten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>6) Обработка деталей. Данный этап частично входит в вышеуказанные, но имеет и собственную ценность. Этот этап целиком прикладной и относится к возможностям и связям конкретных предприятий, а также конкретной специфике реального предприятия и региона. Все существенные для налоговой схемы детали должны быть проверены. Обычно при разработке налоговых схем ряд общих деталей в качестве предположений принимается без доказательств. Но иногда на практике оказывается, что какая-то отдельная операция не может быть произведена так, как задумывалось.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795F">
        <w:rPr>
          <w:rFonts w:ascii="Times New Roman" w:hAnsi="Times New Roman" w:cs="Times New Roman"/>
          <w:b/>
          <w:sz w:val="22"/>
          <w:szCs w:val="22"/>
        </w:rPr>
        <w:t>2 вопрос Виды налоговых схем</w:t>
      </w:r>
    </w:p>
    <w:p w:rsidR="00D05CBF" w:rsidRPr="000B795F" w:rsidRDefault="00D05CBF" w:rsidP="00D05CBF">
      <w:pPr>
        <w:spacing w:before="100" w:beforeAutospacing="1" w:after="100" w:afterAutospacing="1"/>
        <w:jc w:val="both"/>
        <w:outlineLvl w:val="1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Слайд 7 Заказ фиктивных услуг у «фирмы-однодневки»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При реализации рассматриваемой схемы недобросовестный налогоплательщик заключает с некой «фирмой-однодневкой» договор на оказание каких-нибудь услуг (чаще всего - консультационных, маркетинговых, информационных или иных). По фиктивному договору на банковский счет «однодневки» перечисляются денежные средства, которые очень быстро снимаются с этого счета (чаще всего в тот же день или на следующий) якобы на хозяйственные или иные нужды. Затем за вычетом комиссии средства передаются руководству налогоплательщика или иным лицам, перечислившим деньги «фирме-однодневке». Последняя, естественно, налогов не платит и, отслужив небольшой срок, испаряется.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Оплаченные услуги включаются в состав расходов при исчислении </w:t>
      </w:r>
      <w:proofErr w:type="spellStart"/>
      <w:r w:rsidRPr="000B795F">
        <w:rPr>
          <w:sz w:val="22"/>
          <w:szCs w:val="22"/>
        </w:rPr>
        <w:t>корпоративого</w:t>
      </w:r>
      <w:proofErr w:type="spellEnd"/>
      <w:r w:rsidRPr="000B795F">
        <w:rPr>
          <w:sz w:val="22"/>
          <w:szCs w:val="22"/>
        </w:rPr>
        <w:t xml:space="preserve"> подоходного налога, а суммы «зачетного» НДС включаются в состав налоговых вычетов. </w:t>
      </w:r>
    </w:p>
    <w:p w:rsidR="00D05CBF" w:rsidRPr="000B795F" w:rsidRDefault="00D05CBF" w:rsidP="00D05CBF">
      <w:pPr>
        <w:spacing w:before="100" w:beforeAutospacing="1" w:after="100" w:afterAutospacing="1"/>
        <w:jc w:val="both"/>
        <w:outlineLvl w:val="1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Слайд 8 Схема с привлечением фиктивного субподрядчика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Основная цель данной налоговой схемы также как и в других схемах с использованием «однодневок» состоит в том, чтобы </w:t>
      </w:r>
      <w:hyperlink r:id="rId5" w:anchor="3" w:history="1">
        <w:r w:rsidRPr="000B795F">
          <w:rPr>
            <w:color w:val="0000FF"/>
            <w:sz w:val="22"/>
            <w:szCs w:val="22"/>
            <w:u w:val="single"/>
          </w:rPr>
          <w:t>обналичить деньги</w:t>
        </w:r>
      </w:hyperlink>
      <w:r w:rsidRPr="000B795F">
        <w:rPr>
          <w:sz w:val="22"/>
          <w:szCs w:val="22"/>
        </w:rPr>
        <w:t xml:space="preserve"> с банковского счета налогоплательщика, а также получить налоговый вычет по НДС и расходы по налогу на прибыль. Однако данная схема обычно используется не всеми налогоплательщиками, а теми из них, кто по роду своей предпринимательской деятельности сам выполняет для своих клиентов различные подрядные работы, либо в некоторых случаях – налогоплательщиками, у которых вдруг возникает потребность в приобретении каких-либо работ для собственных нужд.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схеме с привлечением фиктивного подрядчика, в отличие от </w:t>
      </w:r>
      <w:hyperlink r:id="rId6" w:anchor="zakaz" w:history="1">
        <w:r w:rsidRPr="000B795F">
          <w:rPr>
            <w:color w:val="0000FF"/>
            <w:sz w:val="22"/>
            <w:szCs w:val="22"/>
            <w:u w:val="single"/>
          </w:rPr>
          <w:t>схемы по заказу фиктивных услуг</w:t>
        </w:r>
      </w:hyperlink>
      <w:r w:rsidRPr="000B795F">
        <w:rPr>
          <w:sz w:val="22"/>
          <w:szCs w:val="22"/>
        </w:rPr>
        <w:t xml:space="preserve">, только самые наивные налогоплательщики полагаются на «авось» и попросту оформляют документооборот с «однодневкой», не задумываясь о фактическом исполнении договора. Ведь материальный результат всегда можно, по крайней мере, увидеть. Поэтому при заключении субподрядных договоров с «фирмой-однодневкой» приходится, как минимум, значительно увеличить документооборот (составить техническое задание, смету, документы по принятию результата выполненных работ и т.д.). В остальном схема мало чем отличается от фиктивного оказания услуг: деньги уходят к мнимому субподрядчику, который их обналичивает. Уплаченные суммы понижают налоговую базу по КПН, а «зачетный» НДС – налоговую базу по этому налогу. </w:t>
      </w:r>
    </w:p>
    <w:p w:rsidR="00D05CBF" w:rsidRPr="000B795F" w:rsidRDefault="00D05CBF" w:rsidP="00D05CBF">
      <w:pPr>
        <w:spacing w:before="100" w:beforeAutospacing="1" w:after="100" w:afterAutospacing="1"/>
        <w:jc w:val="both"/>
        <w:outlineLvl w:val="1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Слайд 9 Фиктивная поставка товаров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среде недобросовестных налогоплательщиков хорошо известны налоговые схемы </w:t>
      </w:r>
      <w:r w:rsidRPr="000B795F">
        <w:rPr>
          <w:b/>
          <w:bCs/>
          <w:sz w:val="22"/>
          <w:szCs w:val="22"/>
        </w:rPr>
        <w:t>по поставке несуществующих товаров с привлечением «однодневок»</w:t>
      </w:r>
      <w:r w:rsidRPr="000B795F">
        <w:rPr>
          <w:sz w:val="22"/>
          <w:szCs w:val="22"/>
        </w:rPr>
        <w:t xml:space="preserve">, которые наряду со схемами по </w:t>
      </w:r>
      <w:hyperlink r:id="rId7" w:anchor="zakaz" w:history="1">
        <w:r w:rsidRPr="000B795F">
          <w:rPr>
            <w:color w:val="0000FF"/>
            <w:sz w:val="22"/>
            <w:szCs w:val="22"/>
            <w:u w:val="single"/>
          </w:rPr>
          <w:t>заказу фиктивных услуг</w:t>
        </w:r>
      </w:hyperlink>
      <w:r w:rsidRPr="000B795F">
        <w:rPr>
          <w:sz w:val="22"/>
          <w:szCs w:val="22"/>
        </w:rPr>
        <w:t xml:space="preserve"> и с </w:t>
      </w:r>
      <w:hyperlink r:id="rId8" w:anchor="sub" w:history="1">
        <w:r w:rsidRPr="000B795F">
          <w:rPr>
            <w:color w:val="0000FF"/>
            <w:sz w:val="22"/>
            <w:szCs w:val="22"/>
            <w:u w:val="single"/>
          </w:rPr>
          <w:t>привлечением фиктивного субподрядчика</w:t>
        </w:r>
      </w:hyperlink>
      <w:r w:rsidRPr="000B795F">
        <w:rPr>
          <w:sz w:val="22"/>
          <w:szCs w:val="22"/>
        </w:rPr>
        <w:t xml:space="preserve"> позволяют облегчить налоговое бремя по НДС и КПН организаций, а также обзавестись неучтенной наличностью.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hyperlink r:id="rId9" w:history="1">
        <w:r w:rsidRPr="000B795F">
          <w:rPr>
            <w:b/>
            <w:bCs/>
            <w:i/>
            <w:iCs/>
            <w:color w:val="0000FF"/>
            <w:sz w:val="22"/>
            <w:szCs w:val="22"/>
            <w:u w:val="single"/>
          </w:rPr>
          <w:t>Пример из арбитражной практики</w:t>
        </w:r>
      </w:hyperlink>
      <w:r w:rsidRPr="000B795F">
        <w:rPr>
          <w:i/>
          <w:iCs/>
          <w:sz w:val="22"/>
          <w:szCs w:val="22"/>
        </w:rPr>
        <w:t xml:space="preserve"> По документам налогоплательщик приобрел у некого поставщика партию товара (минеральные удобрения) за наличный расчет. Однако при проведении проверки у налоговиков возникли сомнения в реальности поставки этого товара. Так, у налогоплательщика отсутствовали товарно-транспортные накладные, подтверждающие доставку минеральных удобрений. Также у него отсутствовали склады, необходимые для их хранения. При этом довод налогоплательщика о том, что поставляемые удобрения сразу же вносились в почву, а потому ему не требовалось наличие складов, был опровергнут показаниями работника налогоплательщика (агронома), который пояснил, что период поставки удобрений не совпадал с периодом обработки почвы и внесения в нее удобрений.</w:t>
      </w:r>
      <w:r w:rsidRPr="000B795F">
        <w:rPr>
          <w:sz w:val="22"/>
          <w:szCs w:val="22"/>
        </w:rPr>
        <w:t xml:space="preserve"> </w:t>
      </w:r>
    </w:p>
    <w:p w:rsidR="00D05CBF" w:rsidRPr="000B795F" w:rsidRDefault="00D05CBF" w:rsidP="00D05CBF">
      <w:pPr>
        <w:spacing w:before="100" w:beforeAutospacing="1" w:after="100" w:afterAutospacing="1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Другие налогоплательщики все же заботятся о реальных поставках, подыскивая помимо номинального поставщика-«однодневки» теневого поставщика товара, осуществляющего поставку без документов за наличные денежные средства. Игра заключается в ценовой политике: закупка у теневого поставщика осуществляется за гораздо меньшие деньги, чем это показывается по документам с «фирмой-однодневкой».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795F">
        <w:rPr>
          <w:rFonts w:ascii="Times New Roman" w:hAnsi="Times New Roman" w:cs="Times New Roman"/>
          <w:b/>
          <w:sz w:val="22"/>
          <w:szCs w:val="22"/>
        </w:rPr>
        <w:t>3 вопрос</w:t>
      </w:r>
      <w:r w:rsidRPr="000B795F">
        <w:rPr>
          <w:rFonts w:ascii="Times New Roman" w:hAnsi="Times New Roman" w:cs="Times New Roman"/>
          <w:sz w:val="22"/>
          <w:szCs w:val="22"/>
        </w:rPr>
        <w:t xml:space="preserve"> </w:t>
      </w:r>
      <w:r w:rsidRPr="000B795F">
        <w:rPr>
          <w:rFonts w:ascii="Times New Roman" w:hAnsi="Times New Roman" w:cs="Times New Roman"/>
          <w:b/>
          <w:sz w:val="22"/>
          <w:szCs w:val="22"/>
        </w:rPr>
        <w:t>Какие причины останавливают компании от использования той или иной схемы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 w:rsidRPr="000B795F">
        <w:rPr>
          <w:rFonts w:eastAsia="Calibri"/>
          <w:sz w:val="22"/>
          <w:szCs w:val="22"/>
        </w:rPr>
        <w:t>Налоговое планирование зачастую сопряжено с рисками предъявления претензий со стороны контролеров. Оценивая этот риск, некоторые компании не решаются использовать тот или иной способ оптимизации налогов и взносов. Причем помимо сомнений в безопасности у практиков также присутствует неуверенность в том, что конкретный метод оптимизации позволит достигнуть ожидаемого результата.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sz w:val="22"/>
          <w:szCs w:val="22"/>
        </w:rPr>
        <w:t>З</w:t>
      </w:r>
      <w:r w:rsidRPr="000B795F">
        <w:rPr>
          <w:rFonts w:eastAsia="Calibri"/>
          <w:sz w:val="22"/>
          <w:szCs w:val="22"/>
        </w:rPr>
        <w:t>ачастую основной причиной отказа от использования той или иной схемы являются не возражения по поводу ее законности, а невозможность использования без налогового спора.</w:t>
      </w:r>
      <w:r w:rsidRPr="000B795F">
        <w:rPr>
          <w:sz w:val="22"/>
          <w:szCs w:val="22"/>
        </w:rPr>
        <w:t xml:space="preserve"> </w:t>
      </w:r>
      <w:r w:rsidRPr="000B795F">
        <w:rPr>
          <w:rFonts w:eastAsia="Calibri"/>
          <w:sz w:val="22"/>
          <w:szCs w:val="22"/>
        </w:rPr>
        <w:t>Опрос показал, что почти половину участников (45%) не смущает способ экономии НДС с помощью замены части выручки от реализации штрафными санкциями за нарушение покупателем условий сделки.</w:t>
      </w:r>
      <w:r w:rsidRPr="000B795F">
        <w:rPr>
          <w:sz w:val="22"/>
          <w:szCs w:val="22"/>
        </w:rPr>
        <w:t xml:space="preserve"> Такой способ применяется в отношении новых покупателей. </w:t>
      </w:r>
      <w:r w:rsidRPr="000B795F">
        <w:rPr>
          <w:rFonts w:eastAsia="Calibri"/>
          <w:sz w:val="22"/>
          <w:szCs w:val="22"/>
        </w:rPr>
        <w:t>Оставшиеся 45 процентов опрошенных не согласятся на подмену выручки штрафами. По их мнению, налоговики давно знают о таком способе экономии, поэтому претензий при проверке избежать вряд ли удастся.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sz w:val="22"/>
          <w:szCs w:val="22"/>
        </w:rPr>
        <w:t>П</w:t>
      </w:r>
      <w:r w:rsidRPr="000B795F">
        <w:rPr>
          <w:rFonts w:eastAsia="Calibri"/>
          <w:sz w:val="22"/>
          <w:szCs w:val="22"/>
        </w:rPr>
        <w:t>орядка 77 компаний из 100 не побоятся выплачивать зарплату в конвертах. И только 14 процентов компаний считают, что «серым» выплатам выгоднее искать другие альтернативы.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Исследование показало, что треть практиков переходит на выплату «серой» зарплаты постепенно. Еще 11 процентов компаний платят «</w:t>
      </w:r>
      <w:proofErr w:type="spellStart"/>
      <w:r w:rsidRPr="000B795F">
        <w:rPr>
          <w:rFonts w:eastAsia="Calibri"/>
          <w:sz w:val="22"/>
          <w:szCs w:val="22"/>
        </w:rPr>
        <w:t>вчерную</w:t>
      </w:r>
      <w:proofErr w:type="spellEnd"/>
      <w:r w:rsidRPr="000B795F">
        <w:rPr>
          <w:rFonts w:eastAsia="Calibri"/>
          <w:sz w:val="22"/>
          <w:szCs w:val="22"/>
        </w:rPr>
        <w:t>» только топ-менеджерам. Этот вариант несет в себе меньше всего рисков. Однако более чем в половине случаев (57%) компании переходят на такой способ экономии единовременно по всем работникам. Что чревато серьезными прет</w:t>
      </w:r>
      <w:r w:rsidRPr="000B795F">
        <w:rPr>
          <w:sz w:val="22"/>
          <w:szCs w:val="22"/>
        </w:rPr>
        <w:t>ензиями со стороны проверяющих.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 w:rsidRPr="000B795F">
        <w:rPr>
          <w:rFonts w:eastAsia="Calibri"/>
          <w:sz w:val="22"/>
          <w:szCs w:val="22"/>
        </w:rPr>
        <w:t>Массовое снижение зарплат приведет к резкому уменьшению сумм перечисляемых страховых взносов. В такой ситуации контролеры из фондов проанализируют динамику численности сотрудников.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Возможности конвертной схемы компании используют по максимуму. Так, более 40 процентов практиков ответили, что рядовому сотруднику они кладут в конверт от 20 до 50 процентов его реального оклада. Четверть компаний – от 50 до 70 процентов. И е</w:t>
      </w:r>
      <w:r w:rsidRPr="000B795F">
        <w:rPr>
          <w:sz w:val="22"/>
          <w:szCs w:val="22"/>
        </w:rPr>
        <w:t>ще четверть – все, что выше МЗП</w:t>
      </w:r>
      <w:r w:rsidRPr="000B795F">
        <w:rPr>
          <w:rFonts w:eastAsia="Calibri"/>
          <w:sz w:val="22"/>
          <w:szCs w:val="22"/>
        </w:rPr>
        <w:t>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Если же в целом деятельность компании нестабильна, то единовременный переход на неофициальную зарплату может быть и не так опасен. Все зависит от убедительности аргументов работодателя.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В качестве дополнительной меры безопасности компания может зафиксировать причины резкого снижения зарплаты в своих внутренних документах, которые никак не связаны с зарплатой. Например, в отчетах отдела снабжения и сбыта, финансовой или плановой службы, отдела маркетинга.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В 40 процентах случаев зарплату в конвертах выдают в кабинете руководителя или бухгалтера</w:t>
      </w:r>
      <w:r w:rsidRPr="000B795F">
        <w:rPr>
          <w:sz w:val="22"/>
          <w:szCs w:val="22"/>
        </w:rPr>
        <w:t xml:space="preserve">. </w:t>
      </w:r>
      <w:r w:rsidRPr="000B795F">
        <w:rPr>
          <w:rFonts w:eastAsia="Calibri"/>
          <w:sz w:val="22"/>
          <w:szCs w:val="22"/>
        </w:rPr>
        <w:t>В 29 процентах случаев конверты разносит один из сотрудников лично в руки каждому работнику. А каждая пятая компания производит неофициальные выплаты прямо в кассе.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 w:rsidRPr="000B795F">
        <w:rPr>
          <w:rFonts w:eastAsia="Calibri"/>
          <w:sz w:val="22"/>
          <w:szCs w:val="22"/>
        </w:rPr>
        <w:t>Хранить неучтенные деньги в кассе опасно, так как при проверке налоговики очень часто снимают остатки по кассе. И если они придут в день выдачи зарплаты, то объяснить «</w:t>
      </w:r>
      <w:proofErr w:type="spellStart"/>
      <w:r w:rsidRPr="000B795F">
        <w:rPr>
          <w:rFonts w:eastAsia="Calibri"/>
          <w:sz w:val="22"/>
          <w:szCs w:val="22"/>
        </w:rPr>
        <w:t>неучтенку</w:t>
      </w:r>
      <w:proofErr w:type="spellEnd"/>
      <w:r w:rsidRPr="000B795F">
        <w:rPr>
          <w:rFonts w:eastAsia="Calibri"/>
          <w:sz w:val="22"/>
          <w:szCs w:val="22"/>
        </w:rPr>
        <w:t>» будет довольно проблематично</w:t>
      </w:r>
      <w:r w:rsidRPr="000B795F">
        <w:rPr>
          <w:sz w:val="22"/>
          <w:szCs w:val="22"/>
        </w:rPr>
        <w:t>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sz w:val="22"/>
          <w:szCs w:val="22"/>
        </w:rPr>
        <w:t>Компания сдает</w:t>
      </w:r>
      <w:r w:rsidRPr="000B795F">
        <w:rPr>
          <w:rFonts w:eastAsia="Calibri"/>
          <w:sz w:val="22"/>
          <w:szCs w:val="22"/>
        </w:rPr>
        <w:t xml:space="preserve"> имущество в аренду через дружественных посредников - предпринимателей на «упрощенке», переводя всю прибыль от операции на них</w:t>
      </w:r>
      <w:r w:rsidRPr="000B795F">
        <w:rPr>
          <w:sz w:val="22"/>
          <w:szCs w:val="22"/>
        </w:rPr>
        <w:t>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Самостоятельное управление денежными средствами дружественных предпринимателей</w:t>
      </w:r>
      <w:r w:rsidRPr="000B795F">
        <w:rPr>
          <w:sz w:val="22"/>
          <w:szCs w:val="22"/>
        </w:rPr>
        <w:t xml:space="preserve"> (ошибка). </w:t>
      </w:r>
      <w:r w:rsidRPr="000B795F">
        <w:rPr>
          <w:rFonts w:eastAsia="Calibri"/>
          <w:sz w:val="22"/>
          <w:szCs w:val="22"/>
        </w:rPr>
        <w:t>Эти ИП в свою очередь сдавали офисные и торговые площади в субаренду. При этом уровень ставок по аренде был в нескол</w:t>
      </w:r>
      <w:r w:rsidRPr="000B795F">
        <w:rPr>
          <w:sz w:val="22"/>
          <w:szCs w:val="22"/>
        </w:rPr>
        <w:t>ько раз ниже цен при субаренде.</w:t>
      </w:r>
    </w:p>
    <w:p w:rsidR="00D05CBF" w:rsidRPr="000B795F" w:rsidRDefault="00D05CBF" w:rsidP="00D05CBF">
      <w:pPr>
        <w:jc w:val="both"/>
        <w:rPr>
          <w:sz w:val="22"/>
          <w:szCs w:val="22"/>
        </w:rPr>
      </w:pPr>
      <w:r w:rsidRPr="000B795F">
        <w:rPr>
          <w:rFonts w:eastAsia="Calibri"/>
          <w:sz w:val="22"/>
          <w:szCs w:val="22"/>
        </w:rPr>
        <w:t xml:space="preserve">При проверке налоговики сочли, что арендаторы-ИП не самостоятельны. Их действия полностью контролирует руководство компании – собственника объекта. А участие в субаренде вызвано исключительно намерениями общества сэкономить налог на прибыль и НДС, а также обналичить деньги. В результате инспекторы </w:t>
      </w:r>
      <w:proofErr w:type="spellStart"/>
      <w:r w:rsidRPr="000B795F">
        <w:rPr>
          <w:rFonts w:eastAsia="Calibri"/>
          <w:sz w:val="22"/>
          <w:szCs w:val="22"/>
        </w:rPr>
        <w:t>доначислили</w:t>
      </w:r>
      <w:proofErr w:type="spellEnd"/>
      <w:r w:rsidRPr="000B795F">
        <w:rPr>
          <w:rFonts w:eastAsia="Calibri"/>
          <w:sz w:val="22"/>
          <w:szCs w:val="22"/>
        </w:rPr>
        <w:t xml:space="preserve"> организации налоги исходя из размера платы за субаренду.</w:t>
      </w:r>
      <w:r w:rsidRPr="000B795F">
        <w:rPr>
          <w:sz w:val="22"/>
          <w:szCs w:val="22"/>
        </w:rPr>
        <w:t xml:space="preserve"> </w:t>
      </w:r>
      <w:r w:rsidRPr="000B795F">
        <w:rPr>
          <w:rFonts w:eastAsia="Calibri"/>
          <w:sz w:val="22"/>
          <w:szCs w:val="22"/>
        </w:rPr>
        <w:t>Налоговики выяснили, что одновременно со снятием денег со счетов ИП практически те же суммы вносились наличными на счет единственного учредителя проверяемой компании</w:t>
      </w:r>
      <w:r w:rsidRPr="000B795F">
        <w:rPr>
          <w:sz w:val="22"/>
          <w:szCs w:val="22"/>
        </w:rPr>
        <w:t>. То есть прибыль показывалась небольшой суммой, а средства на счету превышали прибыль в десятки раз.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 xml:space="preserve">ИП были так или иначе взаимозависимы с владельцем имущества. Это были либо родственники руководства, либо сотрудники организации. В договорах субаренды они указывали в качестве своего местонахождения </w:t>
      </w:r>
      <w:proofErr w:type="spellStart"/>
      <w:r w:rsidRPr="000B795F">
        <w:rPr>
          <w:rFonts w:eastAsia="Calibri"/>
          <w:sz w:val="22"/>
          <w:szCs w:val="22"/>
        </w:rPr>
        <w:t>юрадрес</w:t>
      </w:r>
      <w:proofErr w:type="spellEnd"/>
      <w:r w:rsidRPr="000B795F">
        <w:rPr>
          <w:rFonts w:eastAsia="Calibri"/>
          <w:sz w:val="22"/>
          <w:szCs w:val="22"/>
        </w:rPr>
        <w:t xml:space="preserve"> проверяемой компании. Там же были зарегистрированы все их кассовые аппараты.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 xml:space="preserve">При приближении размера выручки к тому, при котором предприниматели-«упрощенцы» теряют право на </w:t>
      </w:r>
      <w:proofErr w:type="spellStart"/>
      <w:r w:rsidRPr="000B795F">
        <w:rPr>
          <w:rFonts w:eastAsia="Calibri"/>
          <w:sz w:val="22"/>
          <w:szCs w:val="22"/>
        </w:rPr>
        <w:t>спецрежим</w:t>
      </w:r>
      <w:proofErr w:type="spellEnd"/>
      <w:r w:rsidRPr="000B795F">
        <w:rPr>
          <w:rFonts w:eastAsia="Calibri"/>
          <w:sz w:val="22"/>
          <w:szCs w:val="22"/>
        </w:rPr>
        <w:t>, организация досрочно расторгала с ними договоры аренды. (10 млн. тенге за квартал). И заключала аналогичное соглашение с другим ИП на «упрощенке». При этом новый предприниматель регистрировался непосредственно перед оформл</w:t>
      </w:r>
      <w:r w:rsidRPr="000B795F">
        <w:rPr>
          <w:sz w:val="22"/>
          <w:szCs w:val="22"/>
        </w:rPr>
        <w:t>ением сделки.</w:t>
      </w:r>
    </w:p>
    <w:p w:rsidR="00D05CBF" w:rsidRPr="000B795F" w:rsidRDefault="00D05CBF" w:rsidP="00D05CBF">
      <w:pPr>
        <w:jc w:val="both"/>
        <w:rPr>
          <w:rFonts w:eastAsia="Calibri"/>
          <w:sz w:val="22"/>
          <w:szCs w:val="22"/>
        </w:rPr>
      </w:pPr>
      <w:r w:rsidRPr="000B795F">
        <w:rPr>
          <w:rFonts w:eastAsia="Calibri"/>
          <w:sz w:val="22"/>
          <w:szCs w:val="22"/>
        </w:rPr>
        <w:t>Налоговики также допросили субарендаторов – реальных пользователей торговых и офисных площадей. И выяснили, что все вопросы по аренде, в том числе заключение договора и изменение его условий, отсрочка платежа, текущие организационные вопросы, решались в отделе аренды проверяемой компании.</w:t>
      </w:r>
    </w:p>
    <w:p w:rsidR="00D05CBF" w:rsidRPr="000B795F" w:rsidRDefault="00D05CBF" w:rsidP="00D05CBF">
      <w:pPr>
        <w:jc w:val="both"/>
        <w:rPr>
          <w:rFonts w:eastAsia="Calibri"/>
          <w:strike/>
          <w:sz w:val="22"/>
          <w:szCs w:val="22"/>
        </w:rPr>
      </w:pPr>
      <w:r w:rsidRPr="000B795F">
        <w:rPr>
          <w:rFonts w:eastAsia="Calibri"/>
          <w:sz w:val="22"/>
          <w:szCs w:val="22"/>
        </w:rPr>
        <w:t>Реинвестирование офшорного капитала при помощи выплаты дивидендов</w:t>
      </w:r>
      <w:r w:rsidRPr="000B795F">
        <w:rPr>
          <w:sz w:val="22"/>
          <w:szCs w:val="22"/>
        </w:rPr>
        <w:t xml:space="preserve">. </w:t>
      </w:r>
      <w:r w:rsidRPr="000B795F">
        <w:rPr>
          <w:rFonts w:eastAsia="Calibri"/>
          <w:sz w:val="22"/>
          <w:szCs w:val="22"/>
        </w:rPr>
        <w:t>Датские коммандитные товарищества (</w:t>
      </w:r>
      <w:proofErr w:type="spellStart"/>
      <w:r w:rsidRPr="000B795F">
        <w:rPr>
          <w:rFonts w:eastAsia="Calibri"/>
          <w:sz w:val="22"/>
          <w:szCs w:val="22"/>
        </w:rPr>
        <w:t>kommanditselskaber</w:t>
      </w:r>
      <w:proofErr w:type="spellEnd"/>
      <w:r w:rsidRPr="000B795F">
        <w:rPr>
          <w:rFonts w:eastAsia="Calibri"/>
          <w:sz w:val="22"/>
          <w:szCs w:val="22"/>
        </w:rPr>
        <w:t>) фактически являются офшорными компаниями. Имея при этом датские реквизиты и статус юридического лица. Налогообложение доходов такого товарищества, если оно не ведет деятельности на территории Дании и не работает с датскими контрагентами, осуществляется на уровне участников (товарищей) – после распределения им прибыли. В случае если все товарищи зарегистрированы вне Дании и не осуществляют там деятельность через постоянные представительства, никакие налоги на полученный доход товарищество в Дании не платит (Регулирование министерства налогов Дании, нумерация E.F.2.1).</w:t>
      </w:r>
      <w:r w:rsidRPr="000B795F">
        <w:rPr>
          <w:sz w:val="22"/>
          <w:szCs w:val="22"/>
        </w:rPr>
        <w:t xml:space="preserve"> </w:t>
      </w:r>
      <w:r w:rsidRPr="000B795F">
        <w:rPr>
          <w:rFonts w:eastAsia="Calibri"/>
          <w:sz w:val="22"/>
          <w:szCs w:val="22"/>
        </w:rPr>
        <w:t xml:space="preserve">Датское коммандитное товарищество на 99,99 процента учреждается </w:t>
      </w:r>
      <w:r w:rsidRPr="000B795F">
        <w:rPr>
          <w:sz w:val="22"/>
          <w:szCs w:val="22"/>
        </w:rPr>
        <w:t>казахстанской</w:t>
      </w:r>
      <w:r w:rsidRPr="000B795F">
        <w:rPr>
          <w:rFonts w:eastAsia="Calibri"/>
          <w:sz w:val="22"/>
          <w:szCs w:val="22"/>
        </w:rPr>
        <w:t xml:space="preserve"> компанией – получателем инвестиций. После чего оно оказывает услуги либо осуществляет реализацию товаров различным офшорным заказчикам, чем достигается перенос прибыли из офшоров в Данию. После чего товарищество распределяет почти всю полученную прибыль в форме дивидендов своему основному </w:t>
      </w:r>
      <w:r w:rsidRPr="000B795F">
        <w:rPr>
          <w:sz w:val="22"/>
          <w:szCs w:val="22"/>
        </w:rPr>
        <w:t>казахстанскому</w:t>
      </w:r>
      <w:r w:rsidRPr="000B795F">
        <w:rPr>
          <w:rFonts w:eastAsia="Calibri"/>
          <w:sz w:val="22"/>
          <w:szCs w:val="22"/>
        </w:rPr>
        <w:t xml:space="preserve"> участнику. При этом налоговая база по налогу на прибыль в Дании отсутствует, также не удерживает</w:t>
      </w:r>
      <w:r w:rsidRPr="000B795F">
        <w:rPr>
          <w:sz w:val="22"/>
          <w:szCs w:val="22"/>
        </w:rPr>
        <w:t xml:space="preserve">ся и налог у источника.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Выводы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Каждому руководителю хотелось бы найти идеальную схему, в которой бы отсутствовали риски.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Ряд «классических налоговых схем» по уклонению от налогообложения уже раскрыты и доведены до каждого инспектора.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Особенностью налоговых проверок является то, что контролеры повсюду видят замысел: уход от уплаты налогов. Этой ситуации способствовал бизнес, применяя методы оптимизации налогообложения, руководствуясь не столько предпринимательскими целями, сколько налоговыми последствиями. Это и привлечение фирм-«однодневок», банков, фиктивных документов и т.п. Деятельность, отраженная в документах, не соответствующая действительно осуществляемой попадает под разряд криминальной. Именно против построения таких налоговых схем уклонения от налогов и ведется борьба государством. И хотя существуют законные налоговые схемы, деление налоговых схем на две группы – законные и незаконные условно потому, что само понятие «законная схема минимизации» трактуется неоднозначно как налогоплательщиками, так и налоговыми органами.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Знания и опыт налоговых органов привело к необходимости повышать юридическую грамотность налогоплательщиков. </w:t>
      </w:r>
    </w:p>
    <w:p w:rsidR="00D05CBF" w:rsidRPr="000B795F" w:rsidRDefault="00D05CBF" w:rsidP="00D05C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 xml:space="preserve">Руководителям необходимо помнить, что ни одна налоговая схема не является безупречной и в той или иной степени несет риски. 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BF"/>
    <w:rsid w:val="00D05CBF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CB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CB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on-profi.ru/index.php?area=1&amp;p=static&amp;page=chto_takoe_odnodnevka" TargetMode="External"/><Relationship Id="rId6" Type="http://schemas.openxmlformats.org/officeDocument/2006/relationships/hyperlink" Target="http://www.econ-profi.ru/index.php?area=1&amp;p=static&amp;page=priobretenie_u_odnodnevki" TargetMode="External"/><Relationship Id="rId7" Type="http://schemas.openxmlformats.org/officeDocument/2006/relationships/hyperlink" Target="http://www.econ-profi.ru/index.php?area=1&amp;p=static&amp;page=priobretenie_u_odnodnevki" TargetMode="External"/><Relationship Id="rId8" Type="http://schemas.openxmlformats.org/officeDocument/2006/relationships/hyperlink" Target="http://www.econ-profi.ru/index.php?area=1&amp;p=static&amp;page=priobretenie_u_odnodnevki" TargetMode="External"/><Relationship Id="rId9" Type="http://schemas.openxmlformats.org/officeDocument/2006/relationships/hyperlink" Target="http://www.econ-profi.ru/index.php?area=1&amp;p=static&amp;page=post_a63-3904_200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2609</Words>
  <Characters>14873</Characters>
  <Application>Microsoft Macintosh Word</Application>
  <DocSecurity>0</DocSecurity>
  <Lines>123</Lines>
  <Paragraphs>34</Paragraphs>
  <ScaleCrop>false</ScaleCrop>
  <Company>Dom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2021-10-14T02:06:00Z</dcterms:created>
  <dcterms:modified xsi:type="dcterms:W3CDTF">2021-10-14T02:07:00Z</dcterms:modified>
</cp:coreProperties>
</file>